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23 243 vom 4. September 2025</w:t>
      </w:r>
    </w:p>
    <w:p>
      <w:r>
        <w:t>BL Gerichte, 2025-09-04, DE</w:t>
      </w:r>
    </w:p>
    <w:p>
      <w:r>
        <w:rPr>
          <w:b/>
        </w:rPr>
        <w:t xml:space="preserve">Quelle: </w:t>
      </w:r>
      <w:r>
        <w:t>https://mcp.opencaselaw.ch/entscheid/bl_gerichte_720 23 243</w:t>
      </w:r>
    </w:p>
    <w:p>
      <w:r>
        <w:t>FR: BL_GERICHTE 720 23 243 du 4 septembre 2025</w:t>
      </w:r>
    </w:p>
    <w:p>
      <w:r>
        <w:t>IT: BL_GERICHTE 720 23 243 del 4 settembre 2025</w:t>
      </w:r>
    </w:p>
    <w:p>
      <w:pPr>
        <w:pStyle w:val="Heading2"/>
      </w:pPr>
      <w:r>
        <w:t>Regeste</w:t>
      </w:r>
    </w:p>
    <w:p>
      <w:r>
        <w:t>Bestimmung des massgebenden medizinischen Sachverhalts aufgrund eines Gerichtsgutachtens; Einkommensvergleich: Bemessung des Valideneinkommens.</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8. August 2023 ist demnach einzutreten. 2.1 Am 1. Januar 2022 ist die vom Gesetzgeber am 19. Juni 2020 beschlossene Änderung des IVG ("Weiterentwicklung der IV", WEIV) in Kraft getreten. Entsprechend den allgemeinen intertemporalrechtlichen Grundsätzen (BGE 144 V 210 E. 4.3.1) ist nach der bis zum 31. Dezember 2021 geltenden Rechtslage zu beurteilen, ob bis zu diesem Zeitpunkt ein Rentenanspruch entstanden ist (Urteil des Bundesgerichts vom 11. Januar 2023, 9C_484/2022, E. 2). Trifft dies zu, erfolgt ein allfälliger Wechsel zum neuen stufenlosen Rentensystem je nach Alter der Rentenbezügerin bzw. des -bezügers gemäss lit. b und c der Übergangsbestimmungen des IVG zur Änderung vom 19. Juni 2020 (WEIV; vgl. auch Rz. 9100 ff. des Kreisschreibens des Bundesamtes für Sozialversicherungen über Invalidität und Rente in der Invalidenversicherung [KSIR]). 2.2 Gemäss lit. b Abs. 1 der Übergangsbestimmungen WEIV bleibt für Rentenbezügerinnen und Rentenbezüger, deren Rentenanspruch vor dem Inkrafttreten dieser Änderung entstanden ist und die beim Inkrafttreten dieser Änderung das 55. Altersjahr noch nicht vollendet haben, der bisherige Rentenanspruch solange bestehen, bis sich der Invaliditätsgrad nach Art. 17 Abs. 1 des Bundesgesetzes über den Allgemeinen Teil des Sozialversicherungsrechts (ATSG) vom 3. Oktober 2000 ändert (Urteil des Bundesgerichts vom 29. Juni 2023, 9C_499/2022, E. 4.1). Wenn die Voraussetzungen von Art. 17 Abs. 1 ATSG erfüllt sind (Änderung im Invaliditätsgrad von mindestens 5 %), werden nach Rz. 9201 KSIR laufende Renten von versicherten Personen, welche am 1. Januar 2022 das 55. Altersjahr noch nicht erreicht haben, ins neue stufenlose Rentensystem (Art. 28b IVG) überführt. 2.3 Im vorliegenden Verfahren hat die Beschwerdeführerin im Zeitpunkt des Inkrafttretens der vorstehenden Änderungen per 1. Januar 2022 das 55. Lebensjahr noch nicht erreicht. Wie unten in Erwägungen 7.5 dargelegt wird, hat sie gestützt auf einen Invaliditätsgrad von 74 % ab 1. September 2021 bzw. einem solchen von 77 % ab 1. Januar 2024 Anspruch auf eine ganze Rente. Da sie unter diesen Umständen die Schwelle im Sinne von Art. 17 Abs. 1 ATSG von 5 % nicht erreicht, werden die Bestimmungen des IVG, der IVV und des ATSG in der noch bis Ende 2021 geltenden Fassung angewendet; sie werden im Folgenden jeweils in dieser Version wiedergegeben, zitiert und angewendet. 3.1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3.3 Der Rentenanspruch entsteht gemäss Art. 29 IVG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 3.4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Bei Gerichtsgutachten weicht das Gericht nach der Praxis nicht ohne zwingende Gründe von der Einschätzung der medizinischen Fachperson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als triftig genug erscheinen, die Schlüssigkeit des Gerichtsgutachtens in Frage zu stellen, sei es, dass die Überprüfung durch einen Oberexperten für angezeigt gehalten wird, sei es, dass ohne Oberexpertise vom Ergebnis des Gerichtsgutachtens abweichende Schlussfolgerungen gezogen werden (BGE 125 V 351 E. 3b/aa mit Hinweisen).</w:t>
      </w:r>
    </w:p>
    <w:p>
      <w:r>
        <w:rPr>
          <w:b/>
        </w:rPr>
        <w:t>E. 4</w:t>
      </w:r>
    </w:p>
    <w:p>
      <w:r>
        <w:t>Die IV-Stelle Basel-Landschaft hat der Beschwerdeführerin eine Parteientschädigung in der Höhe von Fr. 4'520.95 (inkl. Auslagen und Mehrwertsteuer von 7.7 % bzw. 8.1 %)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